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A622E9">
      <w:pPr>
        <w:pStyle w:val="2"/>
        <w:rPr>
          <w:rFonts w:ascii="Times New Roman" w:hAnsi="Times New Roman" w:cs="Times New Roman"/>
          <w:b/>
          <w:bCs/>
          <w:sz w:val="32"/>
          <w:szCs w:val="32"/>
        </w:rPr>
      </w:pPr>
      <w:r>
        <w:rPr>
          <w:rFonts w:ascii="Times New Roman" w:hAnsi="Times New Roman" w:cs="Times New Roman"/>
          <w:b/>
          <w:bCs/>
          <w:sz w:val="32"/>
          <w:szCs w:val="32"/>
        </w:rPr>
        <w:t>RoB 2 Assessment for Open-label Trial (Ghanei et al., 2006)</w:t>
      </w:r>
    </w:p>
    <w:p w14:paraId="23AB3857">
      <w:pPr>
        <w:keepNext/>
        <w:rPr>
          <w:rFonts w:ascii="Times New Roman" w:hAnsi="Times New Roman" w:cs="Times New Roman"/>
        </w:rPr>
      </w:pPr>
      <w:r>
        <w:rPr>
          <w:rFonts w:ascii="Times New Roman" w:hAnsi="Times New Roman" w:cs="Times New Roman"/>
        </w:rPr>
        <w:drawing>
          <wp:inline distT="0" distB="0" distL="0" distR="0">
            <wp:extent cx="5943600" cy="1590675"/>
            <wp:effectExtent l="0" t="0" r="0" b="9525"/>
            <wp:docPr id="108057122"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057122" name="Picture 3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943600" cy="1590675"/>
                    </a:xfrm>
                    <a:prstGeom prst="rect">
                      <a:avLst/>
                    </a:prstGeom>
                    <a:noFill/>
                    <a:ln>
                      <a:noFill/>
                    </a:ln>
                  </pic:spPr>
                </pic:pic>
              </a:graphicData>
            </a:graphic>
          </wp:inline>
        </w:drawing>
      </w:r>
    </w:p>
    <w:p w14:paraId="15748C04">
      <w:pPr>
        <w:pStyle w:val="11"/>
        <w:jc w:val="both"/>
        <w:rPr>
          <w:rFonts w:ascii="Times New Roman" w:hAnsi="Times New Roman" w:cs="Times New Roman"/>
          <w:i w:val="0"/>
          <w:iCs w:val="0"/>
          <w:lang w:eastAsia="zh-CN"/>
        </w:rPr>
      </w:pPr>
      <w:r>
        <w:rPr>
          <w:rFonts w:ascii="Times New Roman" w:hAnsi="Times New Roman" w:cs="Times New Roman"/>
          <w:i w:val="0"/>
          <w:iCs w:val="0"/>
        </w:rPr>
        <w:t xml:space="preserve">Figure </w:t>
      </w:r>
      <w:r>
        <w:rPr>
          <w:rFonts w:ascii="Times New Roman" w:hAnsi="Times New Roman" w:cs="Times New Roman"/>
          <w:i w:val="0"/>
          <w:iCs w:val="0"/>
        </w:rPr>
        <w:fldChar w:fldCharType="begin"/>
      </w:r>
      <w:r>
        <w:rPr>
          <w:rFonts w:ascii="Times New Roman" w:hAnsi="Times New Roman" w:cs="Times New Roman"/>
          <w:i w:val="0"/>
          <w:iCs w:val="0"/>
        </w:rPr>
        <w:instrText xml:space="preserve"> SEQ Figure \* ARABIC </w:instrText>
      </w:r>
      <w:r>
        <w:rPr>
          <w:rFonts w:ascii="Times New Roman" w:hAnsi="Times New Roman" w:cs="Times New Roman"/>
          <w:i w:val="0"/>
          <w:iCs w:val="0"/>
        </w:rPr>
        <w:fldChar w:fldCharType="separate"/>
      </w:r>
      <w:r>
        <w:rPr>
          <w:rFonts w:ascii="Times New Roman" w:hAnsi="Times New Roman" w:cs="Times New Roman"/>
          <w:i w:val="0"/>
          <w:iCs w:val="0"/>
        </w:rPr>
        <w:t>1</w:t>
      </w:r>
      <w:r>
        <w:rPr>
          <w:rFonts w:ascii="Times New Roman" w:hAnsi="Times New Roman" w:cs="Times New Roman"/>
          <w:i w:val="0"/>
          <w:iCs w:val="0"/>
        </w:rPr>
        <w:fldChar w:fldCharType="end"/>
      </w:r>
      <w:r>
        <w:rPr>
          <w:rFonts w:ascii="Times New Roman" w:hAnsi="Times New Roman" w:cs="Times New Roman"/>
          <w:i w:val="0"/>
          <w:iCs w:val="0"/>
        </w:rPr>
        <w:t xml:space="preserve">. Assessor 1 identified a High Risk of Bias across all outcomes, driven primarily by the systematic imbalance in corticosteroid co-intervention (Domain 2). While this assessor acknowledged the objective nature of lung function tests and blood gas analysis by assigning Low Risk to the measurement process (Domain 4), they maintained a strict 'Some Concerns' rating for the selection of reported results (Domain 5) due to the absence of a pre-registered trial protocol, particularly for the FVC outcome. </w:t>
      </w:r>
      <w:r>
        <w:rPr>
          <w:rFonts w:ascii="Times New Roman" w:hAnsi="Times New Roman" w:cs="Times New Roman"/>
          <w:b/>
          <w:bCs/>
          <w:i w:val="0"/>
          <w:iCs w:val="0"/>
        </w:rPr>
        <w:t>Legend:</w:t>
      </w:r>
      <w:r>
        <w:rPr>
          <w:rFonts w:ascii="Times New Roman" w:hAnsi="Times New Roman" w:cs="Times New Roman"/>
          <w:i w:val="0"/>
          <w:iCs w:val="0"/>
        </w:rPr>
        <w:t xml:space="preserve"> Green Circle = Low Risk of Bias, Yellow Circle = Some Concerns, Red Circle = High Risk of Bias.</w:t>
      </w:r>
      <w:r>
        <w:rPr>
          <w:rFonts w:ascii="Times New Roman" w:hAnsi="Times New Roman" w:cs="Times New Roman"/>
          <w:i w:val="0"/>
          <w:iCs w:val="0"/>
          <w:lang w:eastAsia="zh-CN"/>
        </w:rPr>
        <w:t xml:space="preserve"> ID: Identification; FVC: Forced vital capacity; FEV1: Forced expiratory volume in one second; SEPAR: Dyspnea index, Spanish Society of Pulmonology and Thoracic Surgery; PaO2: Partial pressure of oxygen in the arterial blood; HRCT: High-resolution computed tomography; INF-γ: Interferon-gamma. </w:t>
      </w:r>
    </w:p>
    <w:p w14:paraId="7137B638">
      <w:pPr>
        <w:keepNext/>
        <w:rPr>
          <w:rFonts w:ascii="Times New Roman" w:hAnsi="Times New Roman" w:cs="Times New Roman"/>
        </w:rPr>
      </w:pPr>
      <w:r>
        <w:rPr>
          <w:rFonts w:ascii="Times New Roman" w:hAnsi="Times New Roman" w:cs="Times New Roman"/>
        </w:rPr>
        <w:drawing>
          <wp:inline distT="0" distB="0" distL="0" distR="0">
            <wp:extent cx="5943600" cy="1590675"/>
            <wp:effectExtent l="0" t="0" r="0" b="9525"/>
            <wp:docPr id="206166582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665825"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943600" cy="1590675"/>
                    </a:xfrm>
                    <a:prstGeom prst="rect">
                      <a:avLst/>
                    </a:prstGeom>
                    <a:noFill/>
                    <a:ln>
                      <a:noFill/>
                    </a:ln>
                  </pic:spPr>
                </pic:pic>
              </a:graphicData>
            </a:graphic>
          </wp:inline>
        </w:drawing>
      </w:r>
    </w:p>
    <w:p w14:paraId="5AC55E65">
      <w:pPr>
        <w:pStyle w:val="11"/>
        <w:jc w:val="both"/>
        <w:rPr>
          <w:rFonts w:ascii="Times New Roman" w:hAnsi="Times New Roman" w:cs="Times New Roman"/>
          <w:i w:val="0"/>
          <w:iCs w:val="0"/>
          <w:lang w:eastAsia="zh-CN"/>
        </w:rPr>
      </w:pPr>
      <w:r>
        <w:rPr>
          <w:rFonts w:ascii="Times New Roman" w:hAnsi="Times New Roman" w:cs="Times New Roman"/>
          <w:i w:val="0"/>
          <w:iCs w:val="0"/>
        </w:rPr>
        <w:t xml:space="preserve">Figure </w:t>
      </w:r>
      <w:r>
        <w:rPr>
          <w:rFonts w:ascii="Times New Roman" w:hAnsi="Times New Roman" w:cs="Times New Roman"/>
          <w:i w:val="0"/>
          <w:iCs w:val="0"/>
        </w:rPr>
        <w:fldChar w:fldCharType="begin"/>
      </w:r>
      <w:r>
        <w:rPr>
          <w:rFonts w:ascii="Times New Roman" w:hAnsi="Times New Roman" w:cs="Times New Roman"/>
          <w:i w:val="0"/>
          <w:iCs w:val="0"/>
        </w:rPr>
        <w:instrText xml:space="preserve"> SEQ Figure \* ARABIC </w:instrText>
      </w:r>
      <w:r>
        <w:rPr>
          <w:rFonts w:ascii="Times New Roman" w:hAnsi="Times New Roman" w:cs="Times New Roman"/>
          <w:i w:val="0"/>
          <w:iCs w:val="0"/>
        </w:rPr>
        <w:fldChar w:fldCharType="separate"/>
      </w:r>
      <w:r>
        <w:rPr>
          <w:rFonts w:ascii="Times New Roman" w:hAnsi="Times New Roman" w:cs="Times New Roman"/>
          <w:i w:val="0"/>
          <w:iCs w:val="0"/>
        </w:rPr>
        <w:t>2</w:t>
      </w:r>
      <w:r>
        <w:rPr>
          <w:rFonts w:ascii="Times New Roman" w:hAnsi="Times New Roman" w:cs="Times New Roman"/>
          <w:i w:val="0"/>
          <w:iCs w:val="0"/>
        </w:rPr>
        <w:fldChar w:fldCharType="end"/>
      </w:r>
      <w:r>
        <w:rPr>
          <w:rFonts w:ascii="Times New Roman" w:hAnsi="Times New Roman" w:cs="Times New Roman"/>
          <w:i w:val="0"/>
          <w:iCs w:val="0"/>
        </w:rPr>
        <w:t>. Assessor 2 consistently rated the study as High Risk, emphasizing the vulnerability of 'soft' clinical outcomes. This assessment highlights a critical High Risk in Domain 4 for Hospitalization and Dyspnea, arguing that the open-label design and lack of clinician blinding likely influenced subjective admission decisions and patient-reported symptoms. While slightly more lenient in the radiological assessment (HRCT), this reviewer concluded that the overall study validity is compromised by performance bias.</w:t>
      </w:r>
      <w:r>
        <w:rPr>
          <w:rFonts w:ascii="Times New Roman" w:hAnsi="Times New Roman" w:cs="Times New Roman"/>
          <w:b/>
          <w:bCs/>
        </w:rPr>
        <w:t xml:space="preserve"> </w:t>
      </w:r>
      <w:r>
        <w:rPr>
          <w:rFonts w:ascii="Times New Roman" w:hAnsi="Times New Roman" w:cs="Times New Roman"/>
          <w:b/>
          <w:bCs/>
          <w:i w:val="0"/>
          <w:iCs w:val="0"/>
        </w:rPr>
        <w:t>Legend:</w:t>
      </w:r>
      <w:r>
        <w:rPr>
          <w:rFonts w:ascii="Times New Roman" w:hAnsi="Times New Roman" w:cs="Times New Roman"/>
          <w:i w:val="0"/>
          <w:iCs w:val="0"/>
        </w:rPr>
        <w:t xml:space="preserve"> Green Circle = Low Risk of Bias, Yellow Circle = Some Concerns, Red Circle = High Risk of Bias.</w:t>
      </w:r>
      <w:r>
        <w:rPr>
          <w:rFonts w:ascii="Times New Roman" w:hAnsi="Times New Roman" w:cs="Times New Roman"/>
          <w:i w:val="0"/>
          <w:iCs w:val="0"/>
          <w:lang w:eastAsia="zh-CN"/>
        </w:rPr>
        <w:t xml:space="preserve">  ID: Identification; FVC: Forced vital capacity; FEV1: Forced expiratory volume in one second; SEPAR:</w:t>
      </w:r>
      <w:bookmarkStart w:id="0" w:name="_GoBack"/>
      <w:bookmarkEnd w:id="0"/>
      <w:r>
        <w:rPr>
          <w:rFonts w:ascii="Times New Roman" w:hAnsi="Times New Roman" w:cs="Times New Roman"/>
          <w:i w:val="0"/>
          <w:iCs w:val="0"/>
          <w:lang w:eastAsia="zh-CN"/>
        </w:rPr>
        <w:t xml:space="preserve"> Spanish Society of Pulmonology and Thoracic Surgery; PaO2: Partial pressure of oxygen in the arterial blood; HRCT: High-resolution computed tomography; INFGB: Interferon-gamm</w:t>
      </w:r>
      <w:r>
        <w:rPr>
          <w:rFonts w:ascii="Times New Roman" w:hAnsi="Times New Roman" w:cs="Times New Roman"/>
          <w:i w:val="0"/>
          <w:iCs w:val="0"/>
          <w:highlight w:val="none"/>
          <w:lang w:eastAsia="zh-CN"/>
        </w:rPr>
        <w:t xml:space="preserve">a-1b. </w:t>
      </w:r>
    </w:p>
    <w:p w14:paraId="18FC234F">
      <w:pPr>
        <w:keepNext/>
        <w:jc w:val="center"/>
        <w:rPr>
          <w:rFonts w:ascii="Times New Roman" w:hAnsi="Times New Roman" w:cs="Times New Roman"/>
        </w:rPr>
      </w:pPr>
      <w:r>
        <w:rPr>
          <w:rFonts w:ascii="Times New Roman" w:hAnsi="Times New Roman" w:cs="Times New Roman"/>
        </w:rPr>
        <w:drawing>
          <wp:inline distT="0" distB="0" distL="0" distR="0">
            <wp:extent cx="3764915" cy="1167765"/>
            <wp:effectExtent l="0" t="0" r="6985" b="0"/>
            <wp:docPr id="408680267"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680267" name="Picture 8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790490" cy="1176048"/>
                    </a:xfrm>
                    <a:prstGeom prst="rect">
                      <a:avLst/>
                    </a:prstGeom>
                    <a:noFill/>
                    <a:ln>
                      <a:noFill/>
                    </a:ln>
                  </pic:spPr>
                </pic:pic>
              </a:graphicData>
            </a:graphic>
          </wp:inline>
        </w:drawing>
      </w:r>
    </w:p>
    <w:p w14:paraId="130B101C">
      <w:pPr>
        <w:pStyle w:val="11"/>
        <w:jc w:val="both"/>
        <w:rPr>
          <w:rFonts w:ascii="Times New Roman" w:hAnsi="Times New Roman" w:cs="Times New Roman"/>
          <w:i w:val="0"/>
          <w:iCs w:val="0"/>
          <w:lang w:eastAsia="zh-CN"/>
        </w:rPr>
      </w:pPr>
      <w:r>
        <w:rPr>
          <w:rFonts w:ascii="Times New Roman" w:hAnsi="Times New Roman" w:cs="Times New Roman"/>
          <w:i w:val="0"/>
          <w:iCs w:val="0"/>
        </w:rPr>
        <w:t xml:space="preserve">Figure </w:t>
      </w:r>
      <w:r>
        <w:rPr>
          <w:rFonts w:ascii="Times New Roman" w:hAnsi="Times New Roman" w:cs="Times New Roman"/>
          <w:i w:val="0"/>
          <w:iCs w:val="0"/>
        </w:rPr>
        <w:fldChar w:fldCharType="begin"/>
      </w:r>
      <w:r>
        <w:rPr>
          <w:rFonts w:ascii="Times New Roman" w:hAnsi="Times New Roman" w:cs="Times New Roman"/>
          <w:i w:val="0"/>
          <w:iCs w:val="0"/>
        </w:rPr>
        <w:instrText xml:space="preserve"> SEQ Figure \* ARABIC </w:instrText>
      </w:r>
      <w:r>
        <w:rPr>
          <w:rFonts w:ascii="Times New Roman" w:hAnsi="Times New Roman" w:cs="Times New Roman"/>
          <w:i w:val="0"/>
          <w:iCs w:val="0"/>
        </w:rPr>
        <w:fldChar w:fldCharType="separate"/>
      </w:r>
      <w:r>
        <w:rPr>
          <w:rFonts w:ascii="Times New Roman" w:hAnsi="Times New Roman" w:cs="Times New Roman"/>
          <w:i w:val="0"/>
          <w:iCs w:val="0"/>
        </w:rPr>
        <w:t>3</w:t>
      </w:r>
      <w:r>
        <w:rPr>
          <w:rFonts w:ascii="Times New Roman" w:hAnsi="Times New Roman" w:cs="Times New Roman"/>
          <w:i w:val="0"/>
          <w:iCs w:val="0"/>
        </w:rPr>
        <w:fldChar w:fldCharType="end"/>
      </w:r>
      <w:r>
        <w:rPr>
          <w:rFonts w:ascii="Times New Roman" w:hAnsi="Times New Roman" w:cs="Times New Roman"/>
          <w:i w:val="0"/>
          <w:iCs w:val="0"/>
        </w:rPr>
        <w:t>. The final consensus confirms an overall High Risk of Bias for the Ghanei 2006 trial. The decision reconciles the two assessments by establishing that the mandatory daily prednisolone use in the experimental group vs. the rescue-only use in the control group (Domain 2) constitutes a profound confounding factor. Additionally, the consensus differentiates between objective measurements (PFTs/HRCT), which utilized blinded technicians, and subjective outcomes (SEPAR/Hospitalization), which remained susceptible to observer and expectation bias due to the open-label design.</w:t>
      </w:r>
      <w:r>
        <w:rPr>
          <w:rFonts w:ascii="Times New Roman" w:hAnsi="Times New Roman" w:cs="Times New Roman"/>
          <w:b/>
          <w:bCs/>
          <w:i w:val="0"/>
          <w:iCs w:val="0"/>
        </w:rPr>
        <w:t xml:space="preserve"> Legend:</w:t>
      </w:r>
      <w:r>
        <w:rPr>
          <w:rFonts w:ascii="Times New Roman" w:hAnsi="Times New Roman" w:cs="Times New Roman"/>
          <w:i w:val="0"/>
          <w:iCs w:val="0"/>
        </w:rPr>
        <w:t xml:space="preserve"> Green Circle = Low Risk of Bias, Yellow Circle = Some Concerns, Red Circle = High Risk of Bias.</w:t>
      </w:r>
      <w:r>
        <w:rPr>
          <w:rFonts w:ascii="Times New Roman" w:hAnsi="Times New Roman" w:cs="Times New Roman"/>
          <w:i w:val="0"/>
          <w:iCs w:val="0"/>
          <w:lang w:eastAsia="zh-CN"/>
        </w:rPr>
        <w:t xml:space="preserve"> FVC: Forced vital capacity; FEV1: Forced expiratory volume in one second;</w:t>
      </w:r>
      <w:r>
        <w:rPr>
          <w:rFonts w:ascii="Times New Roman" w:hAnsi="Times New Roman" w:cs="Times New Roman"/>
          <w:i w:val="0"/>
          <w:iCs w:val="0"/>
          <w:highlight w:val="none"/>
          <w:lang w:eastAsia="zh-CN"/>
        </w:rPr>
        <w:t xml:space="preserve"> SEPAR: Spanish Society of Pulmonology and Thoracic Surgery; P</w:t>
      </w:r>
      <w:r>
        <w:rPr>
          <w:rFonts w:ascii="Times New Roman" w:hAnsi="Times New Roman" w:cs="Times New Roman"/>
          <w:i w:val="0"/>
          <w:iCs w:val="0"/>
          <w:lang w:eastAsia="zh-CN"/>
        </w:rPr>
        <w:t>aO2: Partial pressure of oxygen in the arterial blood; HRCT: High-resolution computed tomography.</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Aptos">
    <w:altName w:val="Segoe UI"/>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Aptos Display">
    <w:altName w:val="Segoe UI Variable Display"/>
    <w:panose1 w:val="00000000000000000000"/>
    <w:charset w:val="00"/>
    <w:family w:val="swiss"/>
    <w:pitch w:val="default"/>
    <w:sig w:usb0="00000000" w:usb1="00000000" w:usb2="00000000" w:usb3="00000000" w:csb0="0000019F" w:csb1="00000000"/>
  </w:font>
  <w:font w:name="Segoe UI Variable Display">
    <w:panose1 w:val="00000000000000000000"/>
    <w:charset w:val="00"/>
    <w:family w:val="auto"/>
    <w:pitch w:val="default"/>
    <w:sig w:usb0="A00002FF" w:usb1="0000000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9AF"/>
    <w:rsid w:val="000013D1"/>
    <w:rsid w:val="00002D3F"/>
    <w:rsid w:val="00003B67"/>
    <w:rsid w:val="000047F2"/>
    <w:rsid w:val="00004A0F"/>
    <w:rsid w:val="00004B30"/>
    <w:rsid w:val="00005D79"/>
    <w:rsid w:val="000115BF"/>
    <w:rsid w:val="00012804"/>
    <w:rsid w:val="00014B76"/>
    <w:rsid w:val="00022785"/>
    <w:rsid w:val="000253C3"/>
    <w:rsid w:val="0003150F"/>
    <w:rsid w:val="00032D38"/>
    <w:rsid w:val="000369AB"/>
    <w:rsid w:val="00042A48"/>
    <w:rsid w:val="000430E0"/>
    <w:rsid w:val="00044BC8"/>
    <w:rsid w:val="00045563"/>
    <w:rsid w:val="00045954"/>
    <w:rsid w:val="00045CA2"/>
    <w:rsid w:val="000511BB"/>
    <w:rsid w:val="000530B7"/>
    <w:rsid w:val="00056DD9"/>
    <w:rsid w:val="00062B9E"/>
    <w:rsid w:val="000647AC"/>
    <w:rsid w:val="00067EA7"/>
    <w:rsid w:val="00076C00"/>
    <w:rsid w:val="00077EC2"/>
    <w:rsid w:val="00081518"/>
    <w:rsid w:val="00081F69"/>
    <w:rsid w:val="00084DB7"/>
    <w:rsid w:val="000872ED"/>
    <w:rsid w:val="0009019A"/>
    <w:rsid w:val="00093F5F"/>
    <w:rsid w:val="0009513B"/>
    <w:rsid w:val="000962AD"/>
    <w:rsid w:val="000978CE"/>
    <w:rsid w:val="000A264A"/>
    <w:rsid w:val="000A498B"/>
    <w:rsid w:val="000B43C3"/>
    <w:rsid w:val="000B5A33"/>
    <w:rsid w:val="000B5DC8"/>
    <w:rsid w:val="000B6571"/>
    <w:rsid w:val="000C0F68"/>
    <w:rsid w:val="000C589C"/>
    <w:rsid w:val="000C75CA"/>
    <w:rsid w:val="000C77D2"/>
    <w:rsid w:val="000E14F0"/>
    <w:rsid w:val="000E27D6"/>
    <w:rsid w:val="000E3A86"/>
    <w:rsid w:val="000E3B1B"/>
    <w:rsid w:val="000E77F8"/>
    <w:rsid w:val="000E7C86"/>
    <w:rsid w:val="000F1FDC"/>
    <w:rsid w:val="000F6C8E"/>
    <w:rsid w:val="000F7610"/>
    <w:rsid w:val="00100708"/>
    <w:rsid w:val="001060E9"/>
    <w:rsid w:val="00106AEE"/>
    <w:rsid w:val="00107AAF"/>
    <w:rsid w:val="00110107"/>
    <w:rsid w:val="00113951"/>
    <w:rsid w:val="00114AF5"/>
    <w:rsid w:val="00117736"/>
    <w:rsid w:val="00121893"/>
    <w:rsid w:val="001234FF"/>
    <w:rsid w:val="00123CAF"/>
    <w:rsid w:val="00131A5F"/>
    <w:rsid w:val="00131D5D"/>
    <w:rsid w:val="00134F9A"/>
    <w:rsid w:val="0014144F"/>
    <w:rsid w:val="0014342A"/>
    <w:rsid w:val="0014522B"/>
    <w:rsid w:val="00147826"/>
    <w:rsid w:val="00153FEA"/>
    <w:rsid w:val="0015726F"/>
    <w:rsid w:val="00164D13"/>
    <w:rsid w:val="00166A08"/>
    <w:rsid w:val="00166E9F"/>
    <w:rsid w:val="001736CF"/>
    <w:rsid w:val="0017492A"/>
    <w:rsid w:val="0018163D"/>
    <w:rsid w:val="001827BB"/>
    <w:rsid w:val="00183E98"/>
    <w:rsid w:val="001844BF"/>
    <w:rsid w:val="00195412"/>
    <w:rsid w:val="00195741"/>
    <w:rsid w:val="001A25B8"/>
    <w:rsid w:val="001A2622"/>
    <w:rsid w:val="001A39AC"/>
    <w:rsid w:val="001A57E8"/>
    <w:rsid w:val="001A585C"/>
    <w:rsid w:val="001A64F3"/>
    <w:rsid w:val="001B3CF0"/>
    <w:rsid w:val="001B4206"/>
    <w:rsid w:val="001B42F3"/>
    <w:rsid w:val="001B64A2"/>
    <w:rsid w:val="001C1A3C"/>
    <w:rsid w:val="001C3982"/>
    <w:rsid w:val="001C5355"/>
    <w:rsid w:val="001D003A"/>
    <w:rsid w:val="001D33C8"/>
    <w:rsid w:val="001D35D7"/>
    <w:rsid w:val="001D37A9"/>
    <w:rsid w:val="001D46ED"/>
    <w:rsid w:val="001D7844"/>
    <w:rsid w:val="001D7C5B"/>
    <w:rsid w:val="001E0D26"/>
    <w:rsid w:val="001E373E"/>
    <w:rsid w:val="001E39DD"/>
    <w:rsid w:val="001E6D05"/>
    <w:rsid w:val="001E70EA"/>
    <w:rsid w:val="001F2630"/>
    <w:rsid w:val="001F5FFA"/>
    <w:rsid w:val="002002EC"/>
    <w:rsid w:val="002005F3"/>
    <w:rsid w:val="00202399"/>
    <w:rsid w:val="00204757"/>
    <w:rsid w:val="002047B9"/>
    <w:rsid w:val="002048FC"/>
    <w:rsid w:val="00207A3A"/>
    <w:rsid w:val="00207CD7"/>
    <w:rsid w:val="00210811"/>
    <w:rsid w:val="00210A7A"/>
    <w:rsid w:val="00211B6D"/>
    <w:rsid w:val="00211DA5"/>
    <w:rsid w:val="002129AA"/>
    <w:rsid w:val="002139D3"/>
    <w:rsid w:val="00215301"/>
    <w:rsid w:val="00216AAD"/>
    <w:rsid w:val="00220F5E"/>
    <w:rsid w:val="00221080"/>
    <w:rsid w:val="002213FF"/>
    <w:rsid w:val="00221F6A"/>
    <w:rsid w:val="00222601"/>
    <w:rsid w:val="00223054"/>
    <w:rsid w:val="002257D0"/>
    <w:rsid w:val="00225864"/>
    <w:rsid w:val="002263D5"/>
    <w:rsid w:val="002270C4"/>
    <w:rsid w:val="00227C08"/>
    <w:rsid w:val="0023069A"/>
    <w:rsid w:val="0023128E"/>
    <w:rsid w:val="002318F5"/>
    <w:rsid w:val="00232AE9"/>
    <w:rsid w:val="002375B6"/>
    <w:rsid w:val="0023775B"/>
    <w:rsid w:val="002439A5"/>
    <w:rsid w:val="00245505"/>
    <w:rsid w:val="002466DA"/>
    <w:rsid w:val="00253A89"/>
    <w:rsid w:val="002546CF"/>
    <w:rsid w:val="00254B73"/>
    <w:rsid w:val="0025746A"/>
    <w:rsid w:val="002627EF"/>
    <w:rsid w:val="00262A68"/>
    <w:rsid w:val="00263906"/>
    <w:rsid w:val="002639EB"/>
    <w:rsid w:val="00265C21"/>
    <w:rsid w:val="002663AE"/>
    <w:rsid w:val="002677F9"/>
    <w:rsid w:val="00271943"/>
    <w:rsid w:val="00271FA3"/>
    <w:rsid w:val="00273FAE"/>
    <w:rsid w:val="002742DF"/>
    <w:rsid w:val="00275DDC"/>
    <w:rsid w:val="00284E51"/>
    <w:rsid w:val="00285F0C"/>
    <w:rsid w:val="002864BD"/>
    <w:rsid w:val="00292408"/>
    <w:rsid w:val="00293A00"/>
    <w:rsid w:val="00294018"/>
    <w:rsid w:val="002959B4"/>
    <w:rsid w:val="002A1BBC"/>
    <w:rsid w:val="002A26D2"/>
    <w:rsid w:val="002A33D5"/>
    <w:rsid w:val="002A4EC2"/>
    <w:rsid w:val="002A524E"/>
    <w:rsid w:val="002A5642"/>
    <w:rsid w:val="002A5D5A"/>
    <w:rsid w:val="002B09CB"/>
    <w:rsid w:val="002B0D3A"/>
    <w:rsid w:val="002B2836"/>
    <w:rsid w:val="002B2AB9"/>
    <w:rsid w:val="002B43B3"/>
    <w:rsid w:val="002B6C10"/>
    <w:rsid w:val="002C0EA8"/>
    <w:rsid w:val="002C15E0"/>
    <w:rsid w:val="002C7A98"/>
    <w:rsid w:val="002D1047"/>
    <w:rsid w:val="002D365E"/>
    <w:rsid w:val="002D6E39"/>
    <w:rsid w:val="002E0878"/>
    <w:rsid w:val="002E11C8"/>
    <w:rsid w:val="002E18FE"/>
    <w:rsid w:val="002E2B1C"/>
    <w:rsid w:val="002E658A"/>
    <w:rsid w:val="002E7E2D"/>
    <w:rsid w:val="002F2A5B"/>
    <w:rsid w:val="002F4937"/>
    <w:rsid w:val="002F675C"/>
    <w:rsid w:val="002F69CA"/>
    <w:rsid w:val="002F6D5C"/>
    <w:rsid w:val="002F6F0D"/>
    <w:rsid w:val="00301DC1"/>
    <w:rsid w:val="00310BAA"/>
    <w:rsid w:val="0031375A"/>
    <w:rsid w:val="003144C5"/>
    <w:rsid w:val="003207F2"/>
    <w:rsid w:val="0032165C"/>
    <w:rsid w:val="003234DC"/>
    <w:rsid w:val="003241E6"/>
    <w:rsid w:val="003247F5"/>
    <w:rsid w:val="00325BB2"/>
    <w:rsid w:val="003268CB"/>
    <w:rsid w:val="00327953"/>
    <w:rsid w:val="0033034C"/>
    <w:rsid w:val="00344C17"/>
    <w:rsid w:val="00346421"/>
    <w:rsid w:val="0035165C"/>
    <w:rsid w:val="003516E2"/>
    <w:rsid w:val="00353E21"/>
    <w:rsid w:val="003557BB"/>
    <w:rsid w:val="00357827"/>
    <w:rsid w:val="003579A0"/>
    <w:rsid w:val="00357B36"/>
    <w:rsid w:val="0036119B"/>
    <w:rsid w:val="0036389A"/>
    <w:rsid w:val="00366805"/>
    <w:rsid w:val="00366A39"/>
    <w:rsid w:val="00371D6F"/>
    <w:rsid w:val="003726F9"/>
    <w:rsid w:val="00374785"/>
    <w:rsid w:val="00374F82"/>
    <w:rsid w:val="003772B5"/>
    <w:rsid w:val="00381A5F"/>
    <w:rsid w:val="00382098"/>
    <w:rsid w:val="00383188"/>
    <w:rsid w:val="00383DF6"/>
    <w:rsid w:val="00384FFF"/>
    <w:rsid w:val="00390C51"/>
    <w:rsid w:val="003924F4"/>
    <w:rsid w:val="00394B00"/>
    <w:rsid w:val="003A1432"/>
    <w:rsid w:val="003A1521"/>
    <w:rsid w:val="003A4208"/>
    <w:rsid w:val="003A7A23"/>
    <w:rsid w:val="003B0DA1"/>
    <w:rsid w:val="003B4012"/>
    <w:rsid w:val="003B7A57"/>
    <w:rsid w:val="003B7B48"/>
    <w:rsid w:val="003C1C26"/>
    <w:rsid w:val="003C215A"/>
    <w:rsid w:val="003C26C5"/>
    <w:rsid w:val="003C4473"/>
    <w:rsid w:val="003C4743"/>
    <w:rsid w:val="003C6E74"/>
    <w:rsid w:val="003D1BFF"/>
    <w:rsid w:val="003D2B20"/>
    <w:rsid w:val="003D2C8B"/>
    <w:rsid w:val="003D450D"/>
    <w:rsid w:val="003D4A61"/>
    <w:rsid w:val="003D665C"/>
    <w:rsid w:val="003D7241"/>
    <w:rsid w:val="003D726D"/>
    <w:rsid w:val="003E0295"/>
    <w:rsid w:val="003E095C"/>
    <w:rsid w:val="003E2367"/>
    <w:rsid w:val="003E3958"/>
    <w:rsid w:val="003E7A9A"/>
    <w:rsid w:val="003F01D1"/>
    <w:rsid w:val="003F0823"/>
    <w:rsid w:val="003F08EC"/>
    <w:rsid w:val="003F0F15"/>
    <w:rsid w:val="003F4742"/>
    <w:rsid w:val="003F64A1"/>
    <w:rsid w:val="003F6B1C"/>
    <w:rsid w:val="00400B38"/>
    <w:rsid w:val="00401312"/>
    <w:rsid w:val="00401C88"/>
    <w:rsid w:val="004021A2"/>
    <w:rsid w:val="0040351E"/>
    <w:rsid w:val="004038B8"/>
    <w:rsid w:val="00403AE6"/>
    <w:rsid w:val="00404FAD"/>
    <w:rsid w:val="00410626"/>
    <w:rsid w:val="00415271"/>
    <w:rsid w:val="00420102"/>
    <w:rsid w:val="00420DDC"/>
    <w:rsid w:val="00422997"/>
    <w:rsid w:val="00423691"/>
    <w:rsid w:val="00425830"/>
    <w:rsid w:val="004260EC"/>
    <w:rsid w:val="00430F1C"/>
    <w:rsid w:val="00431CE6"/>
    <w:rsid w:val="004338E7"/>
    <w:rsid w:val="00433F06"/>
    <w:rsid w:val="00437656"/>
    <w:rsid w:val="00440B6D"/>
    <w:rsid w:val="004415ED"/>
    <w:rsid w:val="00442200"/>
    <w:rsid w:val="00442BB7"/>
    <w:rsid w:val="00443E98"/>
    <w:rsid w:val="0044662B"/>
    <w:rsid w:val="0045135E"/>
    <w:rsid w:val="004547D9"/>
    <w:rsid w:val="00457AE7"/>
    <w:rsid w:val="00461CC9"/>
    <w:rsid w:val="004645D0"/>
    <w:rsid w:val="00464956"/>
    <w:rsid w:val="00473B12"/>
    <w:rsid w:val="00474A94"/>
    <w:rsid w:val="00482586"/>
    <w:rsid w:val="00483F23"/>
    <w:rsid w:val="00496341"/>
    <w:rsid w:val="00496FAE"/>
    <w:rsid w:val="004A2283"/>
    <w:rsid w:val="004A3155"/>
    <w:rsid w:val="004A3D01"/>
    <w:rsid w:val="004A4E2D"/>
    <w:rsid w:val="004A661D"/>
    <w:rsid w:val="004A6800"/>
    <w:rsid w:val="004A6E8D"/>
    <w:rsid w:val="004B0754"/>
    <w:rsid w:val="004B2CA8"/>
    <w:rsid w:val="004B378E"/>
    <w:rsid w:val="004B53E5"/>
    <w:rsid w:val="004B58BF"/>
    <w:rsid w:val="004B7094"/>
    <w:rsid w:val="004B71BD"/>
    <w:rsid w:val="004C0C25"/>
    <w:rsid w:val="004C73D6"/>
    <w:rsid w:val="004D08CF"/>
    <w:rsid w:val="004D1B87"/>
    <w:rsid w:val="004D2C1D"/>
    <w:rsid w:val="004D41A8"/>
    <w:rsid w:val="004D4BAE"/>
    <w:rsid w:val="004D7245"/>
    <w:rsid w:val="004E0137"/>
    <w:rsid w:val="004E2C96"/>
    <w:rsid w:val="004E5CC4"/>
    <w:rsid w:val="004F1A3E"/>
    <w:rsid w:val="004F21E3"/>
    <w:rsid w:val="004F4466"/>
    <w:rsid w:val="004F4AC2"/>
    <w:rsid w:val="004F4CA8"/>
    <w:rsid w:val="004F4F67"/>
    <w:rsid w:val="004F58B3"/>
    <w:rsid w:val="005024C2"/>
    <w:rsid w:val="00504811"/>
    <w:rsid w:val="005051BB"/>
    <w:rsid w:val="00505D09"/>
    <w:rsid w:val="00507F60"/>
    <w:rsid w:val="00513413"/>
    <w:rsid w:val="005162EC"/>
    <w:rsid w:val="00516D44"/>
    <w:rsid w:val="00520382"/>
    <w:rsid w:val="00521E8B"/>
    <w:rsid w:val="00524E0B"/>
    <w:rsid w:val="00525CDC"/>
    <w:rsid w:val="00525F3C"/>
    <w:rsid w:val="005262F0"/>
    <w:rsid w:val="00533287"/>
    <w:rsid w:val="00533D57"/>
    <w:rsid w:val="00540076"/>
    <w:rsid w:val="005420AB"/>
    <w:rsid w:val="00542A5A"/>
    <w:rsid w:val="00550A0E"/>
    <w:rsid w:val="0055193C"/>
    <w:rsid w:val="00551E07"/>
    <w:rsid w:val="00552A13"/>
    <w:rsid w:val="00552B35"/>
    <w:rsid w:val="00552BCF"/>
    <w:rsid w:val="005530A4"/>
    <w:rsid w:val="00554C17"/>
    <w:rsid w:val="0055523F"/>
    <w:rsid w:val="005554B5"/>
    <w:rsid w:val="00556077"/>
    <w:rsid w:val="00564B86"/>
    <w:rsid w:val="00566565"/>
    <w:rsid w:val="005665BB"/>
    <w:rsid w:val="00575356"/>
    <w:rsid w:val="00576070"/>
    <w:rsid w:val="00581257"/>
    <w:rsid w:val="00582077"/>
    <w:rsid w:val="005842BC"/>
    <w:rsid w:val="00590368"/>
    <w:rsid w:val="00593BD1"/>
    <w:rsid w:val="00594923"/>
    <w:rsid w:val="00594CC9"/>
    <w:rsid w:val="005953F8"/>
    <w:rsid w:val="00595D14"/>
    <w:rsid w:val="005A2459"/>
    <w:rsid w:val="005A675F"/>
    <w:rsid w:val="005B21BD"/>
    <w:rsid w:val="005B262D"/>
    <w:rsid w:val="005B2F67"/>
    <w:rsid w:val="005B307C"/>
    <w:rsid w:val="005B560A"/>
    <w:rsid w:val="005B5E8B"/>
    <w:rsid w:val="005B6C27"/>
    <w:rsid w:val="005B7751"/>
    <w:rsid w:val="005B7A63"/>
    <w:rsid w:val="005C57B1"/>
    <w:rsid w:val="005C624A"/>
    <w:rsid w:val="005C6628"/>
    <w:rsid w:val="005C7E72"/>
    <w:rsid w:val="005D5168"/>
    <w:rsid w:val="005D5598"/>
    <w:rsid w:val="005D699C"/>
    <w:rsid w:val="005E2D0F"/>
    <w:rsid w:val="005E5246"/>
    <w:rsid w:val="005E5A89"/>
    <w:rsid w:val="005F03EB"/>
    <w:rsid w:val="005F09F1"/>
    <w:rsid w:val="005F32FF"/>
    <w:rsid w:val="005F4C56"/>
    <w:rsid w:val="005F7B7F"/>
    <w:rsid w:val="00614531"/>
    <w:rsid w:val="00614F53"/>
    <w:rsid w:val="00617167"/>
    <w:rsid w:val="0062027F"/>
    <w:rsid w:val="006220CE"/>
    <w:rsid w:val="006279DF"/>
    <w:rsid w:val="0063484F"/>
    <w:rsid w:val="006403D0"/>
    <w:rsid w:val="0064725F"/>
    <w:rsid w:val="00647715"/>
    <w:rsid w:val="00647F93"/>
    <w:rsid w:val="00650391"/>
    <w:rsid w:val="00653EC8"/>
    <w:rsid w:val="00655056"/>
    <w:rsid w:val="00655864"/>
    <w:rsid w:val="00662A5E"/>
    <w:rsid w:val="00662E55"/>
    <w:rsid w:val="006640A0"/>
    <w:rsid w:val="00665219"/>
    <w:rsid w:val="006660EC"/>
    <w:rsid w:val="006746A6"/>
    <w:rsid w:val="00675C86"/>
    <w:rsid w:val="0068000D"/>
    <w:rsid w:val="006833BF"/>
    <w:rsid w:val="00690E1E"/>
    <w:rsid w:val="006A1B2A"/>
    <w:rsid w:val="006A3CBC"/>
    <w:rsid w:val="006A7BA5"/>
    <w:rsid w:val="006B1022"/>
    <w:rsid w:val="006B1EF7"/>
    <w:rsid w:val="006B2CF8"/>
    <w:rsid w:val="006B317D"/>
    <w:rsid w:val="006B493C"/>
    <w:rsid w:val="006B4B96"/>
    <w:rsid w:val="006B6389"/>
    <w:rsid w:val="006B7A62"/>
    <w:rsid w:val="006C0290"/>
    <w:rsid w:val="006C0746"/>
    <w:rsid w:val="006C1912"/>
    <w:rsid w:val="006C29FF"/>
    <w:rsid w:val="006C6C62"/>
    <w:rsid w:val="006D472E"/>
    <w:rsid w:val="006E2C75"/>
    <w:rsid w:val="006E30E8"/>
    <w:rsid w:val="006E3DA2"/>
    <w:rsid w:val="006F719F"/>
    <w:rsid w:val="0071084B"/>
    <w:rsid w:val="00710B5F"/>
    <w:rsid w:val="007116B8"/>
    <w:rsid w:val="00711CEF"/>
    <w:rsid w:val="007126F5"/>
    <w:rsid w:val="0071357C"/>
    <w:rsid w:val="0072213A"/>
    <w:rsid w:val="00722533"/>
    <w:rsid w:val="007240CC"/>
    <w:rsid w:val="00725C8A"/>
    <w:rsid w:val="00726417"/>
    <w:rsid w:val="00726F22"/>
    <w:rsid w:val="00727CCF"/>
    <w:rsid w:val="007303BF"/>
    <w:rsid w:val="00733762"/>
    <w:rsid w:val="007378D0"/>
    <w:rsid w:val="00742F13"/>
    <w:rsid w:val="007447D5"/>
    <w:rsid w:val="0074568B"/>
    <w:rsid w:val="00746DF6"/>
    <w:rsid w:val="00747429"/>
    <w:rsid w:val="007510EF"/>
    <w:rsid w:val="0075114D"/>
    <w:rsid w:val="00751F0D"/>
    <w:rsid w:val="007558BD"/>
    <w:rsid w:val="00756F32"/>
    <w:rsid w:val="00760F7C"/>
    <w:rsid w:val="00761158"/>
    <w:rsid w:val="007677E7"/>
    <w:rsid w:val="00767CFE"/>
    <w:rsid w:val="00772FC0"/>
    <w:rsid w:val="00774688"/>
    <w:rsid w:val="0077623E"/>
    <w:rsid w:val="007808BE"/>
    <w:rsid w:val="0078182D"/>
    <w:rsid w:val="00784F4B"/>
    <w:rsid w:val="007862AD"/>
    <w:rsid w:val="00793915"/>
    <w:rsid w:val="007A0DFC"/>
    <w:rsid w:val="007A136A"/>
    <w:rsid w:val="007A2096"/>
    <w:rsid w:val="007A5D2A"/>
    <w:rsid w:val="007A746F"/>
    <w:rsid w:val="007B002B"/>
    <w:rsid w:val="007B3AAD"/>
    <w:rsid w:val="007B4581"/>
    <w:rsid w:val="007B47E5"/>
    <w:rsid w:val="007B5D4F"/>
    <w:rsid w:val="007B6C9A"/>
    <w:rsid w:val="007B6FEC"/>
    <w:rsid w:val="007C157D"/>
    <w:rsid w:val="007C3C29"/>
    <w:rsid w:val="007C5622"/>
    <w:rsid w:val="007C76DE"/>
    <w:rsid w:val="007D01AC"/>
    <w:rsid w:val="007D259B"/>
    <w:rsid w:val="007D29D8"/>
    <w:rsid w:val="007D43A0"/>
    <w:rsid w:val="007D681A"/>
    <w:rsid w:val="007E5432"/>
    <w:rsid w:val="007F1746"/>
    <w:rsid w:val="007F340A"/>
    <w:rsid w:val="007F74D0"/>
    <w:rsid w:val="007F756D"/>
    <w:rsid w:val="007F78A1"/>
    <w:rsid w:val="00801904"/>
    <w:rsid w:val="00803EF2"/>
    <w:rsid w:val="008059BB"/>
    <w:rsid w:val="00807143"/>
    <w:rsid w:val="00807D53"/>
    <w:rsid w:val="00810298"/>
    <w:rsid w:val="00812440"/>
    <w:rsid w:val="008150C5"/>
    <w:rsid w:val="00816D6C"/>
    <w:rsid w:val="0082353E"/>
    <w:rsid w:val="0082514D"/>
    <w:rsid w:val="00826157"/>
    <w:rsid w:val="00826D93"/>
    <w:rsid w:val="008304FC"/>
    <w:rsid w:val="0083109F"/>
    <w:rsid w:val="00832BCE"/>
    <w:rsid w:val="008336E6"/>
    <w:rsid w:val="008353B3"/>
    <w:rsid w:val="0084331C"/>
    <w:rsid w:val="00847078"/>
    <w:rsid w:val="00847573"/>
    <w:rsid w:val="00851F6F"/>
    <w:rsid w:val="00856179"/>
    <w:rsid w:val="00856473"/>
    <w:rsid w:val="00856CD0"/>
    <w:rsid w:val="00857E9F"/>
    <w:rsid w:val="0086051D"/>
    <w:rsid w:val="0086215F"/>
    <w:rsid w:val="00862617"/>
    <w:rsid w:val="00862A3B"/>
    <w:rsid w:val="008707B2"/>
    <w:rsid w:val="00870D6D"/>
    <w:rsid w:val="00871278"/>
    <w:rsid w:val="00871EEE"/>
    <w:rsid w:val="00874066"/>
    <w:rsid w:val="00875389"/>
    <w:rsid w:val="008760FD"/>
    <w:rsid w:val="008824DC"/>
    <w:rsid w:val="008864EC"/>
    <w:rsid w:val="00886928"/>
    <w:rsid w:val="008928B6"/>
    <w:rsid w:val="00892CBB"/>
    <w:rsid w:val="00892D9A"/>
    <w:rsid w:val="008969DF"/>
    <w:rsid w:val="008A171B"/>
    <w:rsid w:val="008A4B37"/>
    <w:rsid w:val="008B11D8"/>
    <w:rsid w:val="008B2613"/>
    <w:rsid w:val="008C0F79"/>
    <w:rsid w:val="008C1CC7"/>
    <w:rsid w:val="008C28D9"/>
    <w:rsid w:val="008C60C1"/>
    <w:rsid w:val="008D27B4"/>
    <w:rsid w:val="008D4E7C"/>
    <w:rsid w:val="008D5A3D"/>
    <w:rsid w:val="008E3A7D"/>
    <w:rsid w:val="008E4A95"/>
    <w:rsid w:val="008E6046"/>
    <w:rsid w:val="008E6BC1"/>
    <w:rsid w:val="008F4E53"/>
    <w:rsid w:val="008F5817"/>
    <w:rsid w:val="008F6252"/>
    <w:rsid w:val="008F6CBD"/>
    <w:rsid w:val="00900235"/>
    <w:rsid w:val="00903A96"/>
    <w:rsid w:val="00905A0A"/>
    <w:rsid w:val="00905E82"/>
    <w:rsid w:val="00906F44"/>
    <w:rsid w:val="00911360"/>
    <w:rsid w:val="00912962"/>
    <w:rsid w:val="00912F68"/>
    <w:rsid w:val="00914368"/>
    <w:rsid w:val="009159E2"/>
    <w:rsid w:val="00916744"/>
    <w:rsid w:val="009249D8"/>
    <w:rsid w:val="00925FF0"/>
    <w:rsid w:val="00930C54"/>
    <w:rsid w:val="00930F2D"/>
    <w:rsid w:val="0093124F"/>
    <w:rsid w:val="009353FB"/>
    <w:rsid w:val="009402E0"/>
    <w:rsid w:val="009426B7"/>
    <w:rsid w:val="009431C3"/>
    <w:rsid w:val="00945953"/>
    <w:rsid w:val="00952F5B"/>
    <w:rsid w:val="0095324B"/>
    <w:rsid w:val="00954520"/>
    <w:rsid w:val="00962427"/>
    <w:rsid w:val="00962FF5"/>
    <w:rsid w:val="009633AD"/>
    <w:rsid w:val="00963535"/>
    <w:rsid w:val="00965032"/>
    <w:rsid w:val="0096514A"/>
    <w:rsid w:val="0096609C"/>
    <w:rsid w:val="009742A4"/>
    <w:rsid w:val="00981D43"/>
    <w:rsid w:val="009823D4"/>
    <w:rsid w:val="00982FFF"/>
    <w:rsid w:val="00983666"/>
    <w:rsid w:val="00984B5C"/>
    <w:rsid w:val="00992B96"/>
    <w:rsid w:val="009931AE"/>
    <w:rsid w:val="00994927"/>
    <w:rsid w:val="0099725A"/>
    <w:rsid w:val="009978FC"/>
    <w:rsid w:val="009B156F"/>
    <w:rsid w:val="009B50F9"/>
    <w:rsid w:val="009B762E"/>
    <w:rsid w:val="009B7ED6"/>
    <w:rsid w:val="009C18C4"/>
    <w:rsid w:val="009C3FFF"/>
    <w:rsid w:val="009C45DC"/>
    <w:rsid w:val="009D063C"/>
    <w:rsid w:val="009D201C"/>
    <w:rsid w:val="009D6350"/>
    <w:rsid w:val="009D66E1"/>
    <w:rsid w:val="009D7D3C"/>
    <w:rsid w:val="009E0DD9"/>
    <w:rsid w:val="009E28B1"/>
    <w:rsid w:val="009E2BFB"/>
    <w:rsid w:val="009E4692"/>
    <w:rsid w:val="009E5EA2"/>
    <w:rsid w:val="009F0061"/>
    <w:rsid w:val="009F3FFD"/>
    <w:rsid w:val="00A00FA5"/>
    <w:rsid w:val="00A02234"/>
    <w:rsid w:val="00A03228"/>
    <w:rsid w:val="00A039A6"/>
    <w:rsid w:val="00A03EF3"/>
    <w:rsid w:val="00A06862"/>
    <w:rsid w:val="00A07155"/>
    <w:rsid w:val="00A11266"/>
    <w:rsid w:val="00A132BD"/>
    <w:rsid w:val="00A15399"/>
    <w:rsid w:val="00A17B37"/>
    <w:rsid w:val="00A17BC5"/>
    <w:rsid w:val="00A20DD4"/>
    <w:rsid w:val="00A24C3B"/>
    <w:rsid w:val="00A26881"/>
    <w:rsid w:val="00A27554"/>
    <w:rsid w:val="00A30296"/>
    <w:rsid w:val="00A317C7"/>
    <w:rsid w:val="00A318D4"/>
    <w:rsid w:val="00A35F51"/>
    <w:rsid w:val="00A37ED7"/>
    <w:rsid w:val="00A45CB9"/>
    <w:rsid w:val="00A4676B"/>
    <w:rsid w:val="00A46FF6"/>
    <w:rsid w:val="00A53019"/>
    <w:rsid w:val="00A54FB0"/>
    <w:rsid w:val="00A56705"/>
    <w:rsid w:val="00A65BC5"/>
    <w:rsid w:val="00A66640"/>
    <w:rsid w:val="00A700E2"/>
    <w:rsid w:val="00A80D3D"/>
    <w:rsid w:val="00A83868"/>
    <w:rsid w:val="00A83881"/>
    <w:rsid w:val="00A84B45"/>
    <w:rsid w:val="00A87A1A"/>
    <w:rsid w:val="00A951D5"/>
    <w:rsid w:val="00A9570F"/>
    <w:rsid w:val="00A9596C"/>
    <w:rsid w:val="00A97381"/>
    <w:rsid w:val="00AA1AAE"/>
    <w:rsid w:val="00AB1788"/>
    <w:rsid w:val="00AB1F50"/>
    <w:rsid w:val="00AB3941"/>
    <w:rsid w:val="00AB3C59"/>
    <w:rsid w:val="00AB4965"/>
    <w:rsid w:val="00AB6C57"/>
    <w:rsid w:val="00AB6E21"/>
    <w:rsid w:val="00AB6E64"/>
    <w:rsid w:val="00AC35F3"/>
    <w:rsid w:val="00AC3B2F"/>
    <w:rsid w:val="00AD012E"/>
    <w:rsid w:val="00AD0A8A"/>
    <w:rsid w:val="00AD0D44"/>
    <w:rsid w:val="00AD4353"/>
    <w:rsid w:val="00AD7813"/>
    <w:rsid w:val="00AE11D3"/>
    <w:rsid w:val="00AE2AB5"/>
    <w:rsid w:val="00AE3F87"/>
    <w:rsid w:val="00AE4EBA"/>
    <w:rsid w:val="00AE5B09"/>
    <w:rsid w:val="00AF00E9"/>
    <w:rsid w:val="00AF1825"/>
    <w:rsid w:val="00AF1F54"/>
    <w:rsid w:val="00AF37D4"/>
    <w:rsid w:val="00AF4519"/>
    <w:rsid w:val="00AF6403"/>
    <w:rsid w:val="00AF7C1E"/>
    <w:rsid w:val="00B0263F"/>
    <w:rsid w:val="00B05BBC"/>
    <w:rsid w:val="00B069AF"/>
    <w:rsid w:val="00B1217B"/>
    <w:rsid w:val="00B12E74"/>
    <w:rsid w:val="00B171CF"/>
    <w:rsid w:val="00B17753"/>
    <w:rsid w:val="00B20C8E"/>
    <w:rsid w:val="00B234BC"/>
    <w:rsid w:val="00B246E7"/>
    <w:rsid w:val="00B24DD0"/>
    <w:rsid w:val="00B257AF"/>
    <w:rsid w:val="00B26407"/>
    <w:rsid w:val="00B27F3F"/>
    <w:rsid w:val="00B33172"/>
    <w:rsid w:val="00B37810"/>
    <w:rsid w:val="00B4000D"/>
    <w:rsid w:val="00B41683"/>
    <w:rsid w:val="00B42048"/>
    <w:rsid w:val="00B43CF4"/>
    <w:rsid w:val="00B44417"/>
    <w:rsid w:val="00B46971"/>
    <w:rsid w:val="00B46AC7"/>
    <w:rsid w:val="00B51187"/>
    <w:rsid w:val="00B5371E"/>
    <w:rsid w:val="00B54382"/>
    <w:rsid w:val="00B55FA7"/>
    <w:rsid w:val="00B605F1"/>
    <w:rsid w:val="00B60EC5"/>
    <w:rsid w:val="00B643F9"/>
    <w:rsid w:val="00B73B97"/>
    <w:rsid w:val="00B74E3E"/>
    <w:rsid w:val="00B7532B"/>
    <w:rsid w:val="00B759DD"/>
    <w:rsid w:val="00B75AFE"/>
    <w:rsid w:val="00B7684E"/>
    <w:rsid w:val="00B8117C"/>
    <w:rsid w:val="00B82DD2"/>
    <w:rsid w:val="00B83945"/>
    <w:rsid w:val="00B83A3A"/>
    <w:rsid w:val="00B84026"/>
    <w:rsid w:val="00B843A4"/>
    <w:rsid w:val="00B85A10"/>
    <w:rsid w:val="00B86D90"/>
    <w:rsid w:val="00B87D53"/>
    <w:rsid w:val="00B919BB"/>
    <w:rsid w:val="00B93B29"/>
    <w:rsid w:val="00B95931"/>
    <w:rsid w:val="00B97337"/>
    <w:rsid w:val="00BA0047"/>
    <w:rsid w:val="00BA2809"/>
    <w:rsid w:val="00BA2BF1"/>
    <w:rsid w:val="00BA60B8"/>
    <w:rsid w:val="00BB1524"/>
    <w:rsid w:val="00BB2795"/>
    <w:rsid w:val="00BB52FC"/>
    <w:rsid w:val="00BB7C88"/>
    <w:rsid w:val="00BC1982"/>
    <w:rsid w:val="00BC484F"/>
    <w:rsid w:val="00BC5D3B"/>
    <w:rsid w:val="00BC6702"/>
    <w:rsid w:val="00BC6B27"/>
    <w:rsid w:val="00BD51CD"/>
    <w:rsid w:val="00BD5D9B"/>
    <w:rsid w:val="00BE0304"/>
    <w:rsid w:val="00BE65B4"/>
    <w:rsid w:val="00BF0F34"/>
    <w:rsid w:val="00BF0FB6"/>
    <w:rsid w:val="00BF31A0"/>
    <w:rsid w:val="00BF3D31"/>
    <w:rsid w:val="00BF4C51"/>
    <w:rsid w:val="00C0014E"/>
    <w:rsid w:val="00C00291"/>
    <w:rsid w:val="00C02A47"/>
    <w:rsid w:val="00C038D8"/>
    <w:rsid w:val="00C0485A"/>
    <w:rsid w:val="00C0650A"/>
    <w:rsid w:val="00C12174"/>
    <w:rsid w:val="00C1274D"/>
    <w:rsid w:val="00C15D1B"/>
    <w:rsid w:val="00C20516"/>
    <w:rsid w:val="00C22ED8"/>
    <w:rsid w:val="00C24376"/>
    <w:rsid w:val="00C25F2F"/>
    <w:rsid w:val="00C26BE0"/>
    <w:rsid w:val="00C2769C"/>
    <w:rsid w:val="00C31024"/>
    <w:rsid w:val="00C31A32"/>
    <w:rsid w:val="00C33819"/>
    <w:rsid w:val="00C37336"/>
    <w:rsid w:val="00C37B2E"/>
    <w:rsid w:val="00C4105C"/>
    <w:rsid w:val="00C470CF"/>
    <w:rsid w:val="00C51395"/>
    <w:rsid w:val="00C54765"/>
    <w:rsid w:val="00C61342"/>
    <w:rsid w:val="00C61EAC"/>
    <w:rsid w:val="00C65CC0"/>
    <w:rsid w:val="00C70BD2"/>
    <w:rsid w:val="00C758B3"/>
    <w:rsid w:val="00C77A33"/>
    <w:rsid w:val="00C83601"/>
    <w:rsid w:val="00C85CCA"/>
    <w:rsid w:val="00C87BAF"/>
    <w:rsid w:val="00C91EE8"/>
    <w:rsid w:val="00C92968"/>
    <w:rsid w:val="00C94F45"/>
    <w:rsid w:val="00CA25CB"/>
    <w:rsid w:val="00CA2B7C"/>
    <w:rsid w:val="00CA2C6D"/>
    <w:rsid w:val="00CA43F4"/>
    <w:rsid w:val="00CA5500"/>
    <w:rsid w:val="00CA6B0E"/>
    <w:rsid w:val="00CB0961"/>
    <w:rsid w:val="00CB1F7E"/>
    <w:rsid w:val="00CB2E88"/>
    <w:rsid w:val="00CC00F4"/>
    <w:rsid w:val="00CC44EC"/>
    <w:rsid w:val="00CC649E"/>
    <w:rsid w:val="00CC6A1A"/>
    <w:rsid w:val="00CC740D"/>
    <w:rsid w:val="00CD52C6"/>
    <w:rsid w:val="00CD63F3"/>
    <w:rsid w:val="00CE27B1"/>
    <w:rsid w:val="00CE39F8"/>
    <w:rsid w:val="00CE3F60"/>
    <w:rsid w:val="00CF4B0C"/>
    <w:rsid w:val="00D016F1"/>
    <w:rsid w:val="00D0263B"/>
    <w:rsid w:val="00D042E3"/>
    <w:rsid w:val="00D04724"/>
    <w:rsid w:val="00D051FD"/>
    <w:rsid w:val="00D0616E"/>
    <w:rsid w:val="00D074C5"/>
    <w:rsid w:val="00D100C2"/>
    <w:rsid w:val="00D120A8"/>
    <w:rsid w:val="00D13B33"/>
    <w:rsid w:val="00D16615"/>
    <w:rsid w:val="00D2287A"/>
    <w:rsid w:val="00D23712"/>
    <w:rsid w:val="00D23C03"/>
    <w:rsid w:val="00D24EFC"/>
    <w:rsid w:val="00D25C74"/>
    <w:rsid w:val="00D274FB"/>
    <w:rsid w:val="00D27DDE"/>
    <w:rsid w:val="00D3274F"/>
    <w:rsid w:val="00D33DD3"/>
    <w:rsid w:val="00D34519"/>
    <w:rsid w:val="00D34A8D"/>
    <w:rsid w:val="00D350BC"/>
    <w:rsid w:val="00D35A68"/>
    <w:rsid w:val="00D40A6A"/>
    <w:rsid w:val="00D40CA7"/>
    <w:rsid w:val="00D41643"/>
    <w:rsid w:val="00D42AAA"/>
    <w:rsid w:val="00D45011"/>
    <w:rsid w:val="00D45B6F"/>
    <w:rsid w:val="00D46510"/>
    <w:rsid w:val="00D5086F"/>
    <w:rsid w:val="00D50D90"/>
    <w:rsid w:val="00D528AA"/>
    <w:rsid w:val="00D543D1"/>
    <w:rsid w:val="00D5519B"/>
    <w:rsid w:val="00D56D08"/>
    <w:rsid w:val="00D607C1"/>
    <w:rsid w:val="00D619D5"/>
    <w:rsid w:val="00D67FCA"/>
    <w:rsid w:val="00D70913"/>
    <w:rsid w:val="00D71681"/>
    <w:rsid w:val="00D7278E"/>
    <w:rsid w:val="00D74286"/>
    <w:rsid w:val="00D74EBA"/>
    <w:rsid w:val="00D760E7"/>
    <w:rsid w:val="00D81F84"/>
    <w:rsid w:val="00D96BE2"/>
    <w:rsid w:val="00DA1CA6"/>
    <w:rsid w:val="00DA2597"/>
    <w:rsid w:val="00DA33E0"/>
    <w:rsid w:val="00DA4AE4"/>
    <w:rsid w:val="00DA7227"/>
    <w:rsid w:val="00DA7488"/>
    <w:rsid w:val="00DB2EF2"/>
    <w:rsid w:val="00DB3342"/>
    <w:rsid w:val="00DB3773"/>
    <w:rsid w:val="00DB6B93"/>
    <w:rsid w:val="00DC0C05"/>
    <w:rsid w:val="00DC5D1C"/>
    <w:rsid w:val="00DD0675"/>
    <w:rsid w:val="00DD551F"/>
    <w:rsid w:val="00DD69A7"/>
    <w:rsid w:val="00DD7147"/>
    <w:rsid w:val="00DE00C7"/>
    <w:rsid w:val="00DE2078"/>
    <w:rsid w:val="00DE34C3"/>
    <w:rsid w:val="00DE49E8"/>
    <w:rsid w:val="00DF72A5"/>
    <w:rsid w:val="00E017F3"/>
    <w:rsid w:val="00E02514"/>
    <w:rsid w:val="00E041C7"/>
    <w:rsid w:val="00E07CE2"/>
    <w:rsid w:val="00E122B2"/>
    <w:rsid w:val="00E21651"/>
    <w:rsid w:val="00E216E4"/>
    <w:rsid w:val="00E21A3C"/>
    <w:rsid w:val="00E22F44"/>
    <w:rsid w:val="00E25219"/>
    <w:rsid w:val="00E34207"/>
    <w:rsid w:val="00E34CDF"/>
    <w:rsid w:val="00E34EBC"/>
    <w:rsid w:val="00E375DE"/>
    <w:rsid w:val="00E37F5B"/>
    <w:rsid w:val="00E406C2"/>
    <w:rsid w:val="00E433CD"/>
    <w:rsid w:val="00E43677"/>
    <w:rsid w:val="00E43FD6"/>
    <w:rsid w:val="00E50AD5"/>
    <w:rsid w:val="00E50ADF"/>
    <w:rsid w:val="00E52266"/>
    <w:rsid w:val="00E52621"/>
    <w:rsid w:val="00E5269B"/>
    <w:rsid w:val="00E53828"/>
    <w:rsid w:val="00E53E62"/>
    <w:rsid w:val="00E5561A"/>
    <w:rsid w:val="00E55F5B"/>
    <w:rsid w:val="00E621FA"/>
    <w:rsid w:val="00E62B9A"/>
    <w:rsid w:val="00E70C34"/>
    <w:rsid w:val="00E71572"/>
    <w:rsid w:val="00E72E60"/>
    <w:rsid w:val="00E74028"/>
    <w:rsid w:val="00E77683"/>
    <w:rsid w:val="00E8185F"/>
    <w:rsid w:val="00E81E4F"/>
    <w:rsid w:val="00E82415"/>
    <w:rsid w:val="00E83E6B"/>
    <w:rsid w:val="00E84E41"/>
    <w:rsid w:val="00E874A3"/>
    <w:rsid w:val="00E87C32"/>
    <w:rsid w:val="00E87D0D"/>
    <w:rsid w:val="00E96277"/>
    <w:rsid w:val="00E96A68"/>
    <w:rsid w:val="00E97398"/>
    <w:rsid w:val="00EA1A00"/>
    <w:rsid w:val="00EA2D44"/>
    <w:rsid w:val="00EA31E5"/>
    <w:rsid w:val="00EA7EBD"/>
    <w:rsid w:val="00EB24B5"/>
    <w:rsid w:val="00EB71F1"/>
    <w:rsid w:val="00EC246C"/>
    <w:rsid w:val="00EC39AF"/>
    <w:rsid w:val="00EC4D37"/>
    <w:rsid w:val="00EC503B"/>
    <w:rsid w:val="00EC5F2D"/>
    <w:rsid w:val="00EC668A"/>
    <w:rsid w:val="00EC78B1"/>
    <w:rsid w:val="00ED1F3F"/>
    <w:rsid w:val="00ED64EE"/>
    <w:rsid w:val="00EE3A17"/>
    <w:rsid w:val="00EE4C21"/>
    <w:rsid w:val="00EE505F"/>
    <w:rsid w:val="00EE5521"/>
    <w:rsid w:val="00EE7146"/>
    <w:rsid w:val="00EF2B79"/>
    <w:rsid w:val="00EF343A"/>
    <w:rsid w:val="00EF4073"/>
    <w:rsid w:val="00EF40D4"/>
    <w:rsid w:val="00EF5D3C"/>
    <w:rsid w:val="00EF6A29"/>
    <w:rsid w:val="00EF7A17"/>
    <w:rsid w:val="00F02283"/>
    <w:rsid w:val="00F05D60"/>
    <w:rsid w:val="00F11A00"/>
    <w:rsid w:val="00F1453B"/>
    <w:rsid w:val="00F20654"/>
    <w:rsid w:val="00F25516"/>
    <w:rsid w:val="00F40651"/>
    <w:rsid w:val="00F41A8A"/>
    <w:rsid w:val="00F42FCB"/>
    <w:rsid w:val="00F452D4"/>
    <w:rsid w:val="00F46514"/>
    <w:rsid w:val="00F47EC2"/>
    <w:rsid w:val="00F5183C"/>
    <w:rsid w:val="00F52320"/>
    <w:rsid w:val="00F53386"/>
    <w:rsid w:val="00F559A6"/>
    <w:rsid w:val="00F56425"/>
    <w:rsid w:val="00F56910"/>
    <w:rsid w:val="00F57657"/>
    <w:rsid w:val="00F57F58"/>
    <w:rsid w:val="00F613D8"/>
    <w:rsid w:val="00F65396"/>
    <w:rsid w:val="00F721FA"/>
    <w:rsid w:val="00F72858"/>
    <w:rsid w:val="00F73842"/>
    <w:rsid w:val="00F73B20"/>
    <w:rsid w:val="00F7425E"/>
    <w:rsid w:val="00F76123"/>
    <w:rsid w:val="00F7744E"/>
    <w:rsid w:val="00F80B70"/>
    <w:rsid w:val="00F821B1"/>
    <w:rsid w:val="00F82691"/>
    <w:rsid w:val="00F8377F"/>
    <w:rsid w:val="00F858ED"/>
    <w:rsid w:val="00F92F54"/>
    <w:rsid w:val="00F93407"/>
    <w:rsid w:val="00F93AEA"/>
    <w:rsid w:val="00F95042"/>
    <w:rsid w:val="00F95AD5"/>
    <w:rsid w:val="00FA2D77"/>
    <w:rsid w:val="00FA3651"/>
    <w:rsid w:val="00FA5237"/>
    <w:rsid w:val="00FB0A9B"/>
    <w:rsid w:val="00FB1369"/>
    <w:rsid w:val="00FB3BDC"/>
    <w:rsid w:val="00FB6EF8"/>
    <w:rsid w:val="00FB78D4"/>
    <w:rsid w:val="00FB7CB3"/>
    <w:rsid w:val="00FC18BC"/>
    <w:rsid w:val="00FC4EB2"/>
    <w:rsid w:val="00FC7A08"/>
    <w:rsid w:val="00FD12FA"/>
    <w:rsid w:val="00FD1405"/>
    <w:rsid w:val="00FD1AE1"/>
    <w:rsid w:val="00FD245B"/>
    <w:rsid w:val="00FD3B78"/>
    <w:rsid w:val="00FD7167"/>
    <w:rsid w:val="00FE0407"/>
    <w:rsid w:val="00FE1C88"/>
    <w:rsid w:val="00FE21A3"/>
    <w:rsid w:val="00FE6039"/>
    <w:rsid w:val="00FF1F68"/>
    <w:rsid w:val="00FF3FA5"/>
    <w:rsid w:val="00FF45DA"/>
    <w:rsid w:val="00FF5A21"/>
    <w:rsid w:val="00FF6228"/>
    <w:rsid w:val="00FF6F8F"/>
    <w:rsid w:val="1C5F3784"/>
    <w:rsid w:val="2E904795"/>
    <w:rsid w:val="300D3D16"/>
    <w:rsid w:val="416C231C"/>
    <w:rsid w:val="44FC74C4"/>
    <w:rsid w:val="5B0B1E06"/>
    <w:rsid w:val="641075ED"/>
    <w:rsid w:val="763A1BC8"/>
    <w:rsid w:val="7CAB2F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EastAsia" w:cstheme="minorBidi"/>
      <w:kern w:val="2"/>
      <w:sz w:val="24"/>
      <w:szCs w:val="24"/>
      <w:lang w:val="en-US" w:eastAsia="en-US" w:bidi="ar-SA"/>
      <w14:ligatures w14:val="standardContextual"/>
    </w:rPr>
  </w:style>
  <w:style w:type="paragraph" w:styleId="2">
    <w:name w:val="heading 1"/>
    <w:basedOn w:val="1"/>
    <w:next w:val="1"/>
    <w:link w:val="21"/>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3"/>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4"/>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5"/>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6"/>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7"/>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9"/>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unhideWhenUsed/>
    <w:qFormat/>
    <w:uiPriority w:val="35"/>
    <w:pPr>
      <w:spacing w:after="200" w:line="240" w:lineRule="auto"/>
    </w:pPr>
    <w:rPr>
      <w:i/>
      <w:iCs/>
      <w:color w:val="0E2841" w:themeColor="text2"/>
      <w:sz w:val="18"/>
      <w:szCs w:val="18"/>
      <w14:textFill>
        <w14:solidFill>
          <w14:schemeClr w14:val="tx2"/>
        </w14:solidFill>
      </w14:textFill>
    </w:rPr>
  </w:style>
  <w:style w:type="paragraph" w:styleId="12">
    <w:name w:val="annotation text"/>
    <w:basedOn w:val="1"/>
    <w:link w:val="40"/>
    <w:unhideWhenUsed/>
    <w:qFormat/>
    <w:uiPriority w:val="99"/>
  </w:style>
  <w:style w:type="paragraph" w:styleId="13">
    <w:name w:val="Subtitle"/>
    <w:basedOn w:val="1"/>
    <w:next w:val="1"/>
    <w:link w:val="31"/>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semiHidden/>
    <w:unhideWhenUsed/>
    <w:qFormat/>
    <w:uiPriority w:val="99"/>
    <w:rPr>
      <w:rFonts w:ascii="Times New Roman" w:hAnsi="Times New Roman" w:cs="Times New Roman"/>
    </w:rPr>
  </w:style>
  <w:style w:type="paragraph" w:styleId="15">
    <w:name w:val="Title"/>
    <w:basedOn w:val="1"/>
    <w:next w:val="1"/>
    <w:link w:val="30"/>
    <w:qFormat/>
    <w:uiPriority w:val="10"/>
    <w:pPr>
      <w:spacing w:after="80" w:line="240" w:lineRule="auto"/>
      <w:contextualSpacing/>
    </w:pPr>
    <w:rPr>
      <w:rFonts w:asciiTheme="majorHAnsi" w:hAnsiTheme="majorHAnsi" w:eastAsiaTheme="majorEastAsia" w:cstheme="majorBidi"/>
      <w:spacing w:val="-10"/>
      <w:kern w:val="28"/>
      <w:sz w:val="56"/>
      <w:szCs w:val="56"/>
    </w:rPr>
  </w:style>
  <w:style w:type="paragraph" w:styleId="16">
    <w:name w:val="annotation subject"/>
    <w:basedOn w:val="12"/>
    <w:next w:val="12"/>
    <w:link w:val="41"/>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semiHidden/>
    <w:unhideWhenUsed/>
    <w:qFormat/>
    <w:uiPriority w:val="99"/>
    <w:rPr>
      <w:sz w:val="21"/>
      <w:szCs w:val="21"/>
    </w:rPr>
  </w:style>
  <w:style w:type="character" w:customStyle="1" w:styleId="21">
    <w:name w:val="Heading 1 Char"/>
    <w:basedOn w:val="19"/>
    <w:link w:val="2"/>
    <w:qFormat/>
    <w:uiPriority w:val="9"/>
    <w:rPr>
      <w:rFonts w:asciiTheme="majorHAnsi" w:hAnsiTheme="majorHAnsi" w:eastAsiaTheme="majorEastAsia" w:cstheme="majorBidi"/>
      <w:color w:val="104862" w:themeColor="accent1" w:themeShade="BF"/>
      <w:sz w:val="40"/>
      <w:szCs w:val="40"/>
    </w:rPr>
  </w:style>
  <w:style w:type="character" w:customStyle="1" w:styleId="22">
    <w:name w:val="Heading 2 Char"/>
    <w:basedOn w:val="19"/>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Heading 3 Char"/>
    <w:basedOn w:val="19"/>
    <w:link w:val="4"/>
    <w:semiHidden/>
    <w:qFormat/>
    <w:uiPriority w:val="9"/>
    <w:rPr>
      <w:rFonts w:eastAsiaTheme="majorEastAsia" w:cstheme="majorBidi"/>
      <w:color w:val="104862" w:themeColor="accent1" w:themeShade="BF"/>
      <w:sz w:val="28"/>
      <w:szCs w:val="28"/>
    </w:rPr>
  </w:style>
  <w:style w:type="character" w:customStyle="1" w:styleId="24">
    <w:name w:val="Heading 4 Char"/>
    <w:basedOn w:val="19"/>
    <w:link w:val="5"/>
    <w:semiHidden/>
    <w:qFormat/>
    <w:uiPriority w:val="9"/>
    <w:rPr>
      <w:rFonts w:eastAsiaTheme="majorEastAsia" w:cstheme="majorBidi"/>
      <w:i/>
      <w:iCs/>
      <w:color w:val="104862" w:themeColor="accent1" w:themeShade="BF"/>
    </w:rPr>
  </w:style>
  <w:style w:type="character" w:customStyle="1" w:styleId="25">
    <w:name w:val="Heading 5 Char"/>
    <w:basedOn w:val="19"/>
    <w:link w:val="6"/>
    <w:semiHidden/>
    <w:qFormat/>
    <w:uiPriority w:val="9"/>
    <w:rPr>
      <w:rFonts w:eastAsiaTheme="majorEastAsia" w:cstheme="majorBidi"/>
      <w:color w:val="104862" w:themeColor="accent1" w:themeShade="BF"/>
    </w:rPr>
  </w:style>
  <w:style w:type="character" w:customStyle="1" w:styleId="26">
    <w:name w:val="Heading 6 Char"/>
    <w:basedOn w:val="19"/>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7">
    <w:name w:val="Heading 7 Char"/>
    <w:basedOn w:val="19"/>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Heading 8 Char"/>
    <w:basedOn w:val="19"/>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9">
    <w:name w:val="Heading 9 Char"/>
    <w:basedOn w:val="19"/>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0">
    <w:name w:val="Title Char"/>
    <w:basedOn w:val="19"/>
    <w:link w:val="15"/>
    <w:qFormat/>
    <w:uiPriority w:val="10"/>
    <w:rPr>
      <w:rFonts w:asciiTheme="majorHAnsi" w:hAnsiTheme="majorHAnsi" w:eastAsiaTheme="majorEastAsia" w:cstheme="majorBidi"/>
      <w:spacing w:val="-10"/>
      <w:kern w:val="28"/>
      <w:sz w:val="56"/>
      <w:szCs w:val="56"/>
    </w:rPr>
  </w:style>
  <w:style w:type="character" w:customStyle="1" w:styleId="31">
    <w:name w:val="Subtitle Char"/>
    <w:basedOn w:val="19"/>
    <w:link w:val="13"/>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Quote Char"/>
    <w:basedOn w:val="19"/>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Intense Emphasis1"/>
    <w:basedOn w:val="19"/>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Intense Quote Char"/>
    <w:basedOn w:val="19"/>
    <w:link w:val="36"/>
    <w:qFormat/>
    <w:uiPriority w:val="30"/>
    <w:rPr>
      <w:i/>
      <w:iCs/>
      <w:color w:val="104862" w:themeColor="accent1" w:themeShade="BF"/>
    </w:rPr>
  </w:style>
  <w:style w:type="character" w:customStyle="1" w:styleId="38">
    <w:name w:val="Intense Reference1"/>
    <w:basedOn w:val="19"/>
    <w:qFormat/>
    <w:uiPriority w:val="32"/>
    <w:rPr>
      <w:b/>
      <w:bCs/>
      <w:smallCaps/>
      <w:color w:val="104862" w:themeColor="accent1" w:themeShade="BF"/>
      <w:spacing w:val="5"/>
    </w:rPr>
  </w:style>
  <w:style w:type="paragraph" w:customStyle="1" w:styleId="39">
    <w:name w:val="Revision1"/>
    <w:hidden/>
    <w:semiHidden/>
    <w:qFormat/>
    <w:uiPriority w:val="99"/>
    <w:rPr>
      <w:rFonts w:asciiTheme="minorHAnsi" w:hAnsiTheme="minorHAnsi" w:eastAsiaTheme="minorEastAsia" w:cstheme="minorBidi"/>
      <w:kern w:val="2"/>
      <w:sz w:val="24"/>
      <w:szCs w:val="24"/>
      <w:lang w:val="en-US" w:eastAsia="en-US" w:bidi="ar-SA"/>
      <w14:ligatures w14:val="standardContextual"/>
    </w:rPr>
  </w:style>
  <w:style w:type="character" w:customStyle="1" w:styleId="40">
    <w:name w:val="Comment Text Char"/>
    <w:basedOn w:val="19"/>
    <w:link w:val="12"/>
    <w:qFormat/>
    <w:uiPriority w:val="99"/>
  </w:style>
  <w:style w:type="character" w:customStyle="1" w:styleId="41">
    <w:name w:val="Comment Subject Char"/>
    <w:basedOn w:val="40"/>
    <w:link w:val="16"/>
    <w:semiHidden/>
    <w:qFormat/>
    <w:uiPriority w:val="99"/>
    <w:rPr>
      <w:b/>
      <w:bCs/>
    </w:rPr>
  </w:style>
  <w:style w:type="paragraph" w:customStyle="1" w:styleId="42">
    <w:name w:val="Revision"/>
    <w:hidden/>
    <w:unhideWhenUsed/>
    <w:qFormat/>
    <w:uiPriority w:val="99"/>
    <w:rPr>
      <w:rFonts w:asciiTheme="minorHAnsi" w:hAnsiTheme="minorHAnsi" w:eastAsiaTheme="minorEastAsia" w:cstheme="minorBidi"/>
      <w:kern w:val="2"/>
      <w:sz w:val="24"/>
      <w:szCs w:val="24"/>
      <w:lang w:val="en-US" w:eastAsia="en-US"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407</Words>
  <Characters>2403</Characters>
  <Lines>20</Lines>
  <Paragraphs>5</Paragraphs>
  <TotalTime>292</TotalTime>
  <ScaleCrop>false</ScaleCrop>
  <LinksUpToDate>false</LinksUpToDate>
  <CharactersWithSpaces>2809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2026-02-08T08:56:00Z</dcterms:created>
  <dc:creator>Sadegh Azimzadeh</dc:creator>
  <cp:lastModifiedBy>Sham~God</cp:lastModifiedBy>
  <dcterms:modified xsi:type="dcterms:W3CDTF">2026-06-02T01:35:45Z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4b6055c2-0702-4384-831e-e6503a7e6447</vt:lpwstr>
  </property>
  <property fmtid="{D5CDD505-2E9C-101B-9397-08002B2CF9AE}" pid="3" name="KSOTemplateDocerSaveRecord">
    <vt:lpwstr>eyJoZGlkIjoiOTA1Nzk4NzM2MDBhYjFkMDkxMGRhYjkxNjAwMTk1MDAiLCJ1c2VySWQiOiIzOTY3MjgwNzEifQ==</vt:lpwstr>
  </property>
  <property fmtid="{D5CDD505-2E9C-101B-9397-08002B2CF9AE}" pid="4" name="KSOProductBuildVer">
    <vt:lpwstr>2052-12.1.0.26375</vt:lpwstr>
  </property>
  <property fmtid="{D5CDD505-2E9C-101B-9397-08002B2CF9AE}" pid="5" name="ICV">
    <vt:lpwstr>7DA97EDE69584A8C81AB2F7085E6E313_12</vt:lpwstr>
  </property>
</Properties>
</file>